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детей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детей младшего школьного возраста»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Технологии развития ответственности у школьников</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Адаптация ребенка к школьному обучению и причины дезадаптации.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как ведущая деятельность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познавательных процессов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Эмоционально-волевое развитие ребенка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общения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"Группы риска"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Причины школьной неуспеваемости на начальной ступени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Неблагоприятные варианты развития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Наблюдение за регулятивными универсальными учебными действиями младших школьников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урока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индивидуальной консультации для родителей</w:t>
            </w:r>
          </w:p>
          <w:p>
            <w:pPr>
              <w:jc w:val="left"/>
              <w:spacing w:after="0" w:line="240" w:lineRule="auto"/>
              <w:rPr>
                <w:sz w:val="24"/>
                <w:szCs w:val="24"/>
              </w:rPr>
            </w:pPr>
            <w:r>
              <w:rPr>
                <w:rFonts w:ascii="Times New Roman" w:hAnsi="Times New Roman" w:cs="Times New Roman"/>
                <w:color w:val="#000000"/>
                <w:sz w:val="24"/>
                <w:szCs w:val="24"/>
              </w:rPr>
              <w:t> младшего школьника по коррекции школьной неуспешности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когнитивно-познавательной деятельности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Эмоционально-волевая сфера личности мадшего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ПОтребностно-мотивационная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Межличностно-социальная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младшего школьника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психологии младшего школьного возраста. Психология младшего школьника как  часть  возрастной  психологии.  Место  психологии младшего школьного возраста среди других отраслей психологии. Методологические принципы изучения психики ребенка. Стратегии и методы исследования. Проблема возраста и возрастной периодизации. Психическое развитие как усвоение общественно-исторического опыта.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в младшем  школьном  возрасте. Проблема психологической готовности к школьному обучению. Психологическое содержание кризиса 7 лет. Формирование внутренней позиции школьника. Становление учебной деятельности как  ведущей  в  младшем  школьном  возрасте. Основные  новообразования младшего 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Адаптация ребенка к школьному обучению и причины дезадаптации.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психического  развития  детей  в  переходный  период  от  старшего дошкольного к младшему школьному возрасту. Сравнительная характеристика учебного, предучебного, псевдоучебного, коммуникативного и дошкольного типов. Понятие и уровни адаптации  к  школьному  обучению.  Особенности  адаптации  шестилетних  и семилетних первоклассников. Понятие дезадаптации и дезадаптационные стили. Сравнительный анализ понятий «школьная дезадаптация», «школьная фобия», «школьный невроз», «дидактогенный невроз». Основные причины и формы проявления школьной дезадаптации. Диагностическая и  корекционно-развивающая  работа  с младшими  школьниками  по  проблеме  школьной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как ведущая деятельность в младшем школьном возрасте.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деятельности младшего школьника: учение, игра, общение, труд. Учебная деятельность как ведущая в младшем школьном возрасте. Произвольность как одна из основных  предпосылок успешного  формирования  учебной деятельности. Структура учебной  деятельности:  мотивация учения, учебная  ситуация, учебная задача, учебные действия (общие  и  специфические),  действия  контроля  и  оценки. Школьная  отметка и оценка. Психологические особенности начального этапа обучения. Организация обучения детей  в  младших  классах  школы.  Роль  учебной  деятельности  в психическом развитии младшего школьника.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познавательных процессов в младшем школьном возрасте.</w:t>
            </w:r>
          </w:p>
        </w:tc>
      </w:tr>
      <w:tr>
        <w:trPr>
          <w:trHeight w:hRule="exact" w:val="3276.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развитие видов и свойств. Внимание как условие успешного протекания внешней и внутренней деятельности. Пути и средства организации и поддержания внимания в процессе учебной деятельности младших школьников. Роль речи в развитии внимания. Речь: развитие речи в младшем школьном возрасте. Освоение различных функций и языковых аспектов речи в процессе систематического пропедевтического изучения родного языка  как  знаковой  системы.  Осознание  детьми  звукового  состава слова  и  словесного состава  речи  как  предпосылки овладения  чтением  и  письмом. Речь  и  развитие  познавательных  процессов,  личности,  деятельности.  Значение  речи для  психического развития. Восприятие: развитие особой  формы  восприятия – наблюдения- в младшем школьном возрасте. Восприятие пространства: удаленности предметов, формы и величины. Формирование пространственных отношений. Специфика восприятия времени. Восприятие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произведений: рисунка, литературы и музыки. Память: развитие видов и процессов памяти. Формирование представлений. Приемы и средства  произвольного запоминания.  Память  и  развитие  речи.  Развитие  логической, опосредованной памяти. Место памяти в системе познавательных процессов. Мышление. Процесс мышления как центральный в младшем школьном возрасте. Развитие логического мышления, мыслительных операций. Формирование ВПД как основы логического  мышления. Установление  причинно-следственных  связей,  взаимосвязь мышления  и  речи. Развитие  познавательных  интересов  и  познавательной  активности, любознательности. Воображение: развитие  функций,  видов  и  операций  воображения.  Роль воссоздающего  воображения  при  чтении,  анализе  зрительных  графических образцов. Воображение и развитие личности, усвоение нравственных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личности младшего 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Мотивационная  сфера  как  ядро  личности  младшего  школьника. Кризис  7  лет, иерархия мотивов, формирование внутренней позиции школьника. Внутренние и внешние, социальные и познавательные мотивы. Мотивация достижения успеха и избегания неудачи. Формирования рефлексии как осознание своей деятельности и личности. Формальная и содержательная  рефлексия.  Развитие  самооценки  в  младшем школьном  возрасте: адекватность, устойчивость, рефлексивность. Самооценка и школьная успешность младшего школьника. Формирование  ответственности  в  рамках учебной  деятельности.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Эмоционально-волевое развитие ребенка младшего школьного возраста.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эмоций и чувств в младшем школьном возрасте. Основные закономерности  развития  эмоций  и  чувств  в  онтогенезе.  Представления  об  эмоциях и социальные  переживания  детей.  Развитие  произвольности  эмоций  и  чувств. Дифференциация,  обогащение  переживаний.  Роль  эмпатии  в  развитии  высших чувств. Индивидуальные  характеристики  эмоциональной  сферы  детей.  Эмоциональное неблагополучие детей и его причины. Аффекты, страхи, причины, их вызывающие и пути преодоления. Основные  направления  развития  воли  в младшем школьном  детстве. Борьба  и соподчинение  мотивов.  Волевые  усилия  при  выполнении  действий. Развитие  волевых качеств. Взаимосвязь развития воли с развитием познавательных процессов, личностных новообразований,  произвольности поведения  и  деятельности, самосознания,  самооценки, самоконтроля.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общения в младшем школьном возрасте.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социальных  отношений  со  взрослыми  и  сверстниками  в  младшем школьном возрасте. Появление отношений «ребенок –близкий взрослый» и «ребенок – социальный взрослый» вместо прежних «ребенок -взрослый». Преобразование отношений со сверстниками в две системы: игровые, дружеские и учебные, сотруднические. Развитие коммуникативной  компетентности.  Динамика межличностного  взаимодействия  младших школьников со сверстниками на протяжении всего периода обучения в начальной школе. Смещение фокуса референтности со взрослых на сверстников к концу младшего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"Группы риска"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детей  с особыми  вариантами  развития, составляющих «группы риска» в младшем школьном возрасте. Дети с синдромом дефицита внимания  (гиперактивные): чрезмерная  активность, суетливость, импульсивность, невозможность  сосредоточить  внимание.  Леворукие  дети:  сниженная способность зрительно-двигательных координаций, эффект зеркальности (ошибки различения «право», «лево»), трудности в формировании письма и чтения. Медлительные и часто болеющие дети: сниженный темп деятельности,  астения,  повышенная утомляемость могут затруднять усвоение учебного материала. Дети с затруднениями  в эмоционально-волевой сфере: эмоционально расторможенные, агрессивные, тревожные, застенчивые. Психологическая помощь младшим школьникам группы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Причины школьной неуспеваемости на начальной ступени обучения</w:t>
            </w:r>
          </w:p>
        </w:tc>
      </w:tr>
      <w:tr>
        <w:trPr>
          <w:trHeight w:hRule="exact" w:val="543.0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школьной  неуспеваемости. Трудности учебной деятельности младшего школьника.  Психологические  причины  неуспеваемости. Психолого-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типология  неуспевающих  младших  школьников.  Пути  преодоления неуспеваемости младшего школьника: педагогическая и психологическая помощь</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Неблагоприятные варианты развития личности младшего 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с синдромом дефицита внимания и</w:t>
            </w:r>
          </w:p>
          <w:p>
            <w:pPr>
              <w:jc w:val="both"/>
              <w:spacing w:after="0" w:line="240" w:lineRule="auto"/>
              <w:rPr>
                <w:sz w:val="24"/>
                <w:szCs w:val="24"/>
              </w:rPr>
            </w:pPr>
            <w:r>
              <w:rPr>
                <w:rFonts w:ascii="Times New Roman" w:hAnsi="Times New Roman" w:cs="Times New Roman"/>
                <w:color w:val="#000000"/>
                <w:sz w:val="24"/>
                <w:szCs w:val="24"/>
              </w:rPr>
              <w:t> гиперактивности.</w:t>
            </w:r>
          </w:p>
          <w:p>
            <w:pPr>
              <w:jc w:val="both"/>
              <w:spacing w:after="0" w:line="240" w:lineRule="auto"/>
              <w:rPr>
                <w:sz w:val="24"/>
                <w:szCs w:val="24"/>
              </w:rPr>
            </w:pPr>
            <w:r>
              <w:rPr>
                <w:rFonts w:ascii="Times New Roman" w:hAnsi="Times New Roman" w:cs="Times New Roman"/>
                <w:color w:val="#000000"/>
                <w:sz w:val="24"/>
                <w:szCs w:val="24"/>
              </w:rPr>
              <w:t> 2. Проявления агрессии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Тревожность и застенчивость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4. Перфекционизм и его влияние на эмоциональное благополучие</w:t>
            </w:r>
          </w:p>
          <w:p>
            <w:pPr>
              <w:jc w:val="both"/>
              <w:spacing w:after="0" w:line="240" w:lineRule="auto"/>
              <w:rPr>
                <w:sz w:val="24"/>
                <w:szCs w:val="24"/>
              </w:rPr>
            </w:pPr>
            <w:r>
              <w:rPr>
                <w:rFonts w:ascii="Times New Roman" w:hAnsi="Times New Roman" w:cs="Times New Roman"/>
                <w:color w:val="#000000"/>
                <w:sz w:val="24"/>
                <w:szCs w:val="24"/>
              </w:rPr>
              <w:t> ребенка, мотивацию и эффективность учебной деятельности.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Наблюдение за регулятивными универсальными учебными действиями младших школьников на уроке.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инструментария «Карта наблюдения регулятивных УУД</w:t>
            </w:r>
          </w:p>
          <w:p>
            <w:pPr>
              <w:jc w:val="both"/>
              <w:spacing w:after="0" w:line="240" w:lineRule="auto"/>
              <w:rPr>
                <w:sz w:val="24"/>
                <w:szCs w:val="24"/>
              </w:rPr>
            </w:pPr>
            <w:r>
              <w:rPr>
                <w:rFonts w:ascii="Times New Roman" w:hAnsi="Times New Roman" w:cs="Times New Roman"/>
                <w:color w:val="#000000"/>
                <w:sz w:val="24"/>
                <w:szCs w:val="24"/>
              </w:rPr>
              <w:t> младшего школьника»;</w:t>
            </w:r>
          </w:p>
          <w:p>
            <w:pPr>
              <w:jc w:val="both"/>
              <w:spacing w:after="0" w:line="240" w:lineRule="auto"/>
              <w:rPr>
                <w:sz w:val="24"/>
                <w:szCs w:val="24"/>
              </w:rPr>
            </w:pPr>
            <w:r>
              <w:rPr>
                <w:rFonts w:ascii="Times New Roman" w:hAnsi="Times New Roman" w:cs="Times New Roman"/>
                <w:color w:val="#000000"/>
                <w:sz w:val="24"/>
                <w:szCs w:val="24"/>
              </w:rPr>
              <w:t> (2) посещение двух уроков в начальной школе (первый или второй класс);</w:t>
            </w:r>
          </w:p>
          <w:p>
            <w:pPr>
              <w:jc w:val="both"/>
              <w:spacing w:after="0" w:line="240" w:lineRule="auto"/>
              <w:rPr>
                <w:sz w:val="24"/>
                <w:szCs w:val="24"/>
              </w:rPr>
            </w:pPr>
            <w:r>
              <w:rPr>
                <w:rFonts w:ascii="Times New Roman" w:hAnsi="Times New Roman" w:cs="Times New Roman"/>
                <w:color w:val="#000000"/>
                <w:sz w:val="24"/>
                <w:szCs w:val="24"/>
              </w:rPr>
              <w:t> (3) фиксация индикаторов в бланке наблюдения «Карта наблюдения регулятивных УУД младшего школьника»;</w:t>
            </w:r>
          </w:p>
          <w:p>
            <w:pPr>
              <w:jc w:val="both"/>
              <w:spacing w:after="0" w:line="240" w:lineRule="auto"/>
              <w:rPr>
                <w:sz w:val="24"/>
                <w:szCs w:val="24"/>
              </w:rPr>
            </w:pPr>
            <w:r>
              <w:rPr>
                <w:rFonts w:ascii="Times New Roman" w:hAnsi="Times New Roman" w:cs="Times New Roman"/>
                <w:color w:val="#000000"/>
                <w:sz w:val="24"/>
                <w:szCs w:val="24"/>
              </w:rPr>
              <w:t> (4) расшифровка наблюдения и анализ полученных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урока в начальной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методического инструментария;</w:t>
            </w:r>
          </w:p>
          <w:p>
            <w:pPr>
              <w:jc w:val="both"/>
              <w:spacing w:after="0" w:line="240" w:lineRule="auto"/>
              <w:rPr>
                <w:sz w:val="24"/>
                <w:szCs w:val="24"/>
              </w:rPr>
            </w:pPr>
            <w:r>
              <w:rPr>
                <w:rFonts w:ascii="Times New Roman" w:hAnsi="Times New Roman" w:cs="Times New Roman"/>
                <w:color w:val="#000000"/>
                <w:sz w:val="24"/>
                <w:szCs w:val="24"/>
              </w:rPr>
              <w:t> 2.  посещение двух уроков в начальной школе (первый или второй класс);</w:t>
            </w:r>
          </w:p>
          <w:p>
            <w:pPr>
              <w:jc w:val="both"/>
              <w:spacing w:after="0" w:line="240" w:lineRule="auto"/>
              <w:rPr>
                <w:sz w:val="24"/>
                <w:szCs w:val="24"/>
              </w:rPr>
            </w:pPr>
            <w:r>
              <w:rPr>
                <w:rFonts w:ascii="Times New Roman" w:hAnsi="Times New Roman" w:cs="Times New Roman"/>
                <w:color w:val="#000000"/>
                <w:sz w:val="24"/>
                <w:szCs w:val="24"/>
              </w:rPr>
              <w:t> 3.  фиксация индикаторов в бланке наблюдения «Психологический анализ</w:t>
            </w:r>
          </w:p>
          <w:p>
            <w:pPr>
              <w:jc w:val="both"/>
              <w:spacing w:after="0" w:line="240" w:lineRule="auto"/>
              <w:rPr>
                <w:sz w:val="24"/>
                <w:szCs w:val="24"/>
              </w:rPr>
            </w:pPr>
            <w:r>
              <w:rPr>
                <w:rFonts w:ascii="Times New Roman" w:hAnsi="Times New Roman" w:cs="Times New Roman"/>
                <w:color w:val="#000000"/>
                <w:sz w:val="24"/>
                <w:szCs w:val="24"/>
              </w:rPr>
              <w:t> урока в начальной школе»;</w:t>
            </w:r>
          </w:p>
          <w:p>
            <w:pPr>
              <w:jc w:val="both"/>
              <w:spacing w:after="0" w:line="240" w:lineRule="auto"/>
              <w:rPr>
                <w:sz w:val="24"/>
                <w:szCs w:val="24"/>
              </w:rPr>
            </w:pPr>
            <w:r>
              <w:rPr>
                <w:rFonts w:ascii="Times New Roman" w:hAnsi="Times New Roman" w:cs="Times New Roman"/>
                <w:color w:val="#000000"/>
                <w:sz w:val="24"/>
                <w:szCs w:val="24"/>
              </w:rPr>
              <w:t> 4.  расшифровка и интерпретация результатов наблюдения;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индивидуальной консультации для родителей</w:t>
            </w:r>
          </w:p>
          <w:p>
            <w:pPr>
              <w:jc w:val="center"/>
              <w:spacing w:after="0" w:line="240" w:lineRule="auto"/>
              <w:rPr>
                <w:sz w:val="24"/>
                <w:szCs w:val="24"/>
              </w:rPr>
            </w:pPr>
            <w:r>
              <w:rPr>
                <w:rFonts w:ascii="Times New Roman" w:hAnsi="Times New Roman" w:cs="Times New Roman"/>
                <w:b/>
                <w:color w:val="#000000"/>
                <w:sz w:val="24"/>
                <w:szCs w:val="24"/>
              </w:rPr>
              <w:t> младшего школьника по коррекции школьной неуспешности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организационный этап (создание микрогрупп студентов для подгрупповой работы (по 5-6 человек);</w:t>
            </w:r>
          </w:p>
          <w:p>
            <w:pPr>
              <w:jc w:val="both"/>
              <w:spacing w:after="0" w:line="240" w:lineRule="auto"/>
              <w:rPr>
                <w:sz w:val="24"/>
                <w:szCs w:val="24"/>
              </w:rPr>
            </w:pPr>
            <w:r>
              <w:rPr>
                <w:rFonts w:ascii="Times New Roman" w:hAnsi="Times New Roman" w:cs="Times New Roman"/>
                <w:color w:val="#000000"/>
                <w:sz w:val="24"/>
                <w:szCs w:val="24"/>
              </w:rPr>
              <w:t> (2) описание проблемной ситуации, связанной с школьной неуспешностью</w:t>
            </w:r>
          </w:p>
          <w:p>
            <w:pPr>
              <w:jc w:val="both"/>
              <w:spacing w:after="0" w:line="240" w:lineRule="auto"/>
              <w:rPr>
                <w:sz w:val="24"/>
                <w:szCs w:val="24"/>
              </w:rPr>
            </w:pPr>
            <w:r>
              <w:rPr>
                <w:rFonts w:ascii="Times New Roman" w:hAnsi="Times New Roman" w:cs="Times New Roman"/>
                <w:color w:val="#000000"/>
                <w:sz w:val="24"/>
                <w:szCs w:val="24"/>
              </w:rPr>
              <w:t> со слов учителя/ей, родителя/ей, результаты наблюдения за ребенком (для каждой группы студентов предлагается конкретная ситуация);</w:t>
            </w:r>
          </w:p>
          <w:p>
            <w:pPr>
              <w:jc w:val="both"/>
              <w:spacing w:after="0" w:line="240" w:lineRule="auto"/>
              <w:rPr>
                <w:sz w:val="24"/>
                <w:szCs w:val="24"/>
              </w:rPr>
            </w:pPr>
            <w:r>
              <w:rPr>
                <w:rFonts w:ascii="Times New Roman" w:hAnsi="Times New Roman" w:cs="Times New Roman"/>
                <w:color w:val="#000000"/>
                <w:sz w:val="24"/>
                <w:szCs w:val="24"/>
              </w:rPr>
              <w:t> (3) создание синтетической картины изучаемого объекта на феноменологическом уровне, определение предполагаемых причин, краткое резюме (работа в</w:t>
            </w:r>
          </w:p>
          <w:p>
            <w:pPr>
              <w:jc w:val="both"/>
              <w:spacing w:after="0" w:line="240" w:lineRule="auto"/>
              <w:rPr>
                <w:sz w:val="24"/>
                <w:szCs w:val="24"/>
              </w:rPr>
            </w:pPr>
            <w:r>
              <w:rPr>
                <w:rFonts w:ascii="Times New Roman" w:hAnsi="Times New Roman" w:cs="Times New Roman"/>
                <w:color w:val="#000000"/>
                <w:sz w:val="24"/>
                <w:szCs w:val="24"/>
              </w:rPr>
              <w:t> подгруппе);</w:t>
            </w:r>
          </w:p>
          <w:p>
            <w:pPr>
              <w:jc w:val="both"/>
              <w:spacing w:after="0" w:line="240" w:lineRule="auto"/>
              <w:rPr>
                <w:sz w:val="24"/>
                <w:szCs w:val="24"/>
              </w:rPr>
            </w:pPr>
            <w:r>
              <w:rPr>
                <w:rFonts w:ascii="Times New Roman" w:hAnsi="Times New Roman" w:cs="Times New Roman"/>
                <w:color w:val="#000000"/>
                <w:sz w:val="24"/>
                <w:szCs w:val="24"/>
              </w:rPr>
              <w:t> (4) подбор, разработка рекомендаций для родителей по коррекции школьной</w:t>
            </w:r>
          </w:p>
          <w:p>
            <w:pPr>
              <w:jc w:val="both"/>
              <w:spacing w:after="0" w:line="240" w:lineRule="auto"/>
              <w:rPr>
                <w:sz w:val="24"/>
                <w:szCs w:val="24"/>
              </w:rPr>
            </w:pPr>
            <w:r>
              <w:rPr>
                <w:rFonts w:ascii="Times New Roman" w:hAnsi="Times New Roman" w:cs="Times New Roman"/>
                <w:color w:val="#000000"/>
                <w:sz w:val="24"/>
                <w:szCs w:val="24"/>
              </w:rPr>
              <w:t> неуспешности ребенка (текстовое сообщение для родителей)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Младший школьник как субъект учебной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учебной деятельности как ведущей деятельности</w:t>
            </w:r>
          </w:p>
          <w:p>
            <w:pPr>
              <w:jc w:val="left"/>
              <w:spacing w:after="0" w:line="240" w:lineRule="auto"/>
              <w:rPr>
                <w:sz w:val="24"/>
                <w:szCs w:val="24"/>
              </w:rPr>
            </w:pPr>
            <w:r>
              <w:rPr>
                <w:rFonts w:ascii="Times New Roman" w:hAnsi="Times New Roman" w:cs="Times New Roman"/>
                <w:color w:val="#000000"/>
                <w:sz w:val="24"/>
                <w:szCs w:val="24"/>
              </w:rPr>
              <w:t> младшего школьника.</w:t>
            </w:r>
          </w:p>
          <w:p>
            <w:pPr>
              <w:jc w:val="left"/>
              <w:spacing w:after="0" w:line="240" w:lineRule="auto"/>
              <w:rPr>
                <w:sz w:val="24"/>
                <w:szCs w:val="24"/>
              </w:rPr>
            </w:pPr>
            <w:r>
              <w:rPr>
                <w:rFonts w:ascii="Times New Roman" w:hAnsi="Times New Roman" w:cs="Times New Roman"/>
                <w:color w:val="#000000"/>
                <w:sz w:val="24"/>
                <w:szCs w:val="24"/>
              </w:rPr>
              <w:t> 2. Влияние учебной деятельности на развитие познавательной</w:t>
            </w:r>
          </w:p>
          <w:p>
            <w:pPr>
              <w:jc w:val="left"/>
              <w:spacing w:after="0" w:line="240" w:lineRule="auto"/>
              <w:rPr>
                <w:sz w:val="24"/>
                <w:szCs w:val="24"/>
              </w:rPr>
            </w:pPr>
            <w:r>
              <w:rPr>
                <w:rFonts w:ascii="Times New Roman" w:hAnsi="Times New Roman" w:cs="Times New Roman"/>
                <w:color w:val="#000000"/>
                <w:sz w:val="24"/>
                <w:szCs w:val="24"/>
              </w:rPr>
              <w:t> функции.</w:t>
            </w:r>
          </w:p>
          <w:p>
            <w:pPr>
              <w:jc w:val="left"/>
              <w:spacing w:after="0" w:line="240" w:lineRule="auto"/>
              <w:rPr>
                <w:sz w:val="24"/>
                <w:szCs w:val="24"/>
              </w:rPr>
            </w:pPr>
            <w:r>
              <w:rPr>
                <w:rFonts w:ascii="Times New Roman" w:hAnsi="Times New Roman" w:cs="Times New Roman"/>
                <w:color w:val="#000000"/>
                <w:sz w:val="24"/>
                <w:szCs w:val="24"/>
              </w:rPr>
              <w:t> 3. Влияние учебной деятельности на развитие личности младшего</w:t>
            </w:r>
          </w:p>
          <w:p>
            <w:pPr>
              <w:jc w:val="left"/>
              <w:spacing w:after="0" w:line="240" w:lineRule="auto"/>
              <w:rPr>
                <w:sz w:val="24"/>
                <w:szCs w:val="24"/>
              </w:rPr>
            </w:pPr>
            <w:r>
              <w:rPr>
                <w:rFonts w:ascii="Times New Roman" w:hAnsi="Times New Roman" w:cs="Times New Roman"/>
                <w:color w:val="#000000"/>
                <w:sz w:val="24"/>
                <w:szCs w:val="24"/>
              </w:rPr>
              <w:t> школьника.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когнитивно-познавательной деятельности в младшем школьном возрасте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произвольности познавательных процессов.</w:t>
            </w:r>
          </w:p>
          <w:p>
            <w:pPr>
              <w:jc w:val="left"/>
              <w:spacing w:after="0" w:line="240" w:lineRule="auto"/>
              <w:rPr>
                <w:sz w:val="24"/>
                <w:szCs w:val="24"/>
              </w:rPr>
            </w:pPr>
            <w:r>
              <w:rPr>
                <w:rFonts w:ascii="Times New Roman" w:hAnsi="Times New Roman" w:cs="Times New Roman"/>
                <w:color w:val="#000000"/>
                <w:sz w:val="24"/>
                <w:szCs w:val="24"/>
              </w:rPr>
              <w:t> 2. Особенности развития мышления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3. Развитие речи как целенаправленная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Эмоционально-волевая сфера личности мадшего школьника</w:t>
            </w:r>
          </w:p>
        </w:tc>
      </w:tr>
      <w:tr>
        <w:trPr>
          <w:trHeight w:hRule="exact" w:val="21.31518"/>
        </w:trPr>
        <w:tc>
          <w:tcPr>
            <w:tcW w:w="9640" w:type="dxa"/>
          </w:tcPr>
          <w:p/>
        </w:tc>
      </w:tr>
      <w:tr>
        <w:trPr>
          <w:trHeight w:hRule="exact" w:val="1117.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эмоциональных переживаний</w:t>
            </w:r>
          </w:p>
          <w:p>
            <w:pPr>
              <w:jc w:val="left"/>
              <w:spacing w:after="0" w:line="240" w:lineRule="auto"/>
              <w:rPr>
                <w:sz w:val="24"/>
                <w:szCs w:val="24"/>
              </w:rPr>
            </w:pPr>
            <w:r>
              <w:rPr>
                <w:rFonts w:ascii="Times New Roman" w:hAnsi="Times New Roman" w:cs="Times New Roman"/>
                <w:color w:val="#000000"/>
                <w:sz w:val="24"/>
                <w:szCs w:val="24"/>
              </w:rPr>
              <w:t> младшего школьника</w:t>
            </w:r>
          </w:p>
          <w:p>
            <w:pPr>
              <w:jc w:val="left"/>
              <w:spacing w:after="0" w:line="240" w:lineRule="auto"/>
              <w:rPr>
                <w:sz w:val="24"/>
                <w:szCs w:val="24"/>
              </w:rPr>
            </w:pPr>
            <w:r>
              <w:rPr>
                <w:rFonts w:ascii="Times New Roman" w:hAnsi="Times New Roman" w:cs="Times New Roman"/>
                <w:color w:val="#000000"/>
                <w:sz w:val="24"/>
                <w:szCs w:val="24"/>
              </w:rPr>
              <w:t> 2. Развитие эмоциональной сферы младшего школьника: благоприятный вариант.</w:t>
            </w:r>
          </w:p>
          <w:p>
            <w:pPr>
              <w:jc w:val="left"/>
              <w:spacing w:after="0" w:line="240" w:lineRule="auto"/>
              <w:rPr>
                <w:sz w:val="24"/>
                <w:szCs w:val="24"/>
              </w:rPr>
            </w:pPr>
            <w:r>
              <w:rPr>
                <w:rFonts w:ascii="Times New Roman" w:hAnsi="Times New Roman" w:cs="Times New Roman"/>
                <w:color w:val="#000000"/>
                <w:sz w:val="24"/>
                <w:szCs w:val="24"/>
              </w:rPr>
              <w:t> 3. Неблагоприятные варианты развития эмоционально-волевой сферы младшего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ПОтребностно-мотивационная сфера в младшем школьном возрасте</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Ведущие мотивы поведения младшего школьника.</w:t>
            </w:r>
          </w:p>
          <w:p>
            <w:pPr>
              <w:jc w:val="left"/>
              <w:spacing w:after="0" w:line="240" w:lineRule="auto"/>
              <w:rPr>
                <w:sz w:val="24"/>
                <w:szCs w:val="24"/>
              </w:rPr>
            </w:pPr>
            <w:r>
              <w:rPr>
                <w:rFonts w:ascii="Times New Roman" w:hAnsi="Times New Roman" w:cs="Times New Roman"/>
                <w:color w:val="#000000"/>
                <w:sz w:val="24"/>
                <w:szCs w:val="24"/>
              </w:rPr>
              <w:t> 2. Развитие учебной мотивации.</w:t>
            </w:r>
          </w:p>
          <w:p>
            <w:pPr>
              <w:jc w:val="left"/>
              <w:spacing w:after="0" w:line="240" w:lineRule="auto"/>
              <w:rPr>
                <w:sz w:val="24"/>
                <w:szCs w:val="24"/>
              </w:rPr>
            </w:pPr>
            <w:r>
              <w:rPr>
                <w:rFonts w:ascii="Times New Roman" w:hAnsi="Times New Roman" w:cs="Times New Roman"/>
                <w:color w:val="#000000"/>
                <w:sz w:val="24"/>
                <w:szCs w:val="24"/>
              </w:rPr>
              <w:t> 3. Развитие академической мотивации достижения.</w:t>
            </w:r>
          </w:p>
          <w:p>
            <w:pPr>
              <w:jc w:val="left"/>
              <w:spacing w:after="0" w:line="240" w:lineRule="auto"/>
              <w:rPr>
                <w:sz w:val="24"/>
                <w:szCs w:val="24"/>
              </w:rPr>
            </w:pPr>
            <w:r>
              <w:rPr>
                <w:rFonts w:ascii="Times New Roman" w:hAnsi="Times New Roman" w:cs="Times New Roman"/>
                <w:color w:val="#000000"/>
                <w:sz w:val="24"/>
                <w:szCs w:val="24"/>
              </w:rPr>
              <w:t> 4. Становление социальных мотивов поведения младшего</w:t>
            </w:r>
          </w:p>
          <w:p>
            <w:pPr>
              <w:jc w:val="left"/>
              <w:spacing w:after="0" w:line="240" w:lineRule="auto"/>
              <w:rPr>
                <w:sz w:val="24"/>
                <w:szCs w:val="24"/>
              </w:rPr>
            </w:pPr>
            <w:r>
              <w:rPr>
                <w:rFonts w:ascii="Times New Roman" w:hAnsi="Times New Roman" w:cs="Times New Roman"/>
                <w:color w:val="#000000"/>
                <w:sz w:val="24"/>
                <w:szCs w:val="24"/>
              </w:rPr>
              <w:t> школьника.</w:t>
            </w:r>
          </w:p>
          <w:p>
            <w:pPr>
              <w:jc w:val="left"/>
              <w:spacing w:after="0" w:line="240" w:lineRule="auto"/>
              <w:rPr>
                <w:sz w:val="24"/>
                <w:szCs w:val="24"/>
              </w:rPr>
            </w:pPr>
            <w:r>
              <w:rPr>
                <w:rFonts w:ascii="Times New Roman" w:hAnsi="Times New Roman" w:cs="Times New Roman"/>
                <w:color w:val="#000000"/>
                <w:sz w:val="24"/>
                <w:szCs w:val="24"/>
              </w:rPr>
              <w:t> 5. Неблагоприятные варианты атрибуции поведения и их влияние на поведение и личность младшего школьника.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Межличностно-социальная сфера в младшем школьном возрасте</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1.Развитие социального поведения младшего школьника (поведение в</w:t>
            </w:r>
          </w:p>
          <w:p>
            <w:pPr>
              <w:jc w:val="left"/>
              <w:spacing w:after="0" w:line="240" w:lineRule="auto"/>
              <w:rPr>
                <w:sz w:val="24"/>
                <w:szCs w:val="24"/>
              </w:rPr>
            </w:pPr>
            <w:r>
              <w:rPr>
                <w:rFonts w:ascii="Times New Roman" w:hAnsi="Times New Roman" w:cs="Times New Roman"/>
                <w:color w:val="#000000"/>
                <w:sz w:val="24"/>
                <w:szCs w:val="24"/>
              </w:rPr>
              <w:t> школе, в семье, в кругу сверстников).</w:t>
            </w:r>
          </w:p>
          <w:p>
            <w:pPr>
              <w:jc w:val="left"/>
              <w:spacing w:after="0" w:line="240" w:lineRule="auto"/>
              <w:rPr>
                <w:sz w:val="24"/>
                <w:szCs w:val="24"/>
              </w:rPr>
            </w:pPr>
            <w:r>
              <w:rPr>
                <w:rFonts w:ascii="Times New Roman" w:hAnsi="Times New Roman" w:cs="Times New Roman"/>
                <w:color w:val="#000000"/>
                <w:sz w:val="24"/>
                <w:szCs w:val="24"/>
              </w:rPr>
              <w:t> 2.Отношения младшего школьника со взрослыми.</w:t>
            </w:r>
          </w:p>
          <w:p>
            <w:pPr>
              <w:jc w:val="left"/>
              <w:spacing w:after="0" w:line="240" w:lineRule="auto"/>
              <w:rPr>
                <w:sz w:val="24"/>
                <w:szCs w:val="24"/>
              </w:rPr>
            </w:pPr>
            <w:r>
              <w:rPr>
                <w:rFonts w:ascii="Times New Roman" w:hAnsi="Times New Roman" w:cs="Times New Roman"/>
                <w:color w:val="#000000"/>
                <w:sz w:val="24"/>
                <w:szCs w:val="24"/>
              </w:rPr>
              <w:t> 3.Половой диморфизм межличностных отношений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4.Феномен дружбы и лидерства в младшем школьном возрасте.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младшего 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Самопознание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https://urait.ru/bcode/432210</w:t>
            </w:r>
            <w:r>
              <w:rPr/>
              <w:t xml:space="preserve"> </w:t>
            </w:r>
          </w:p>
        </w:tc>
      </w:tr>
      <w:tr>
        <w:trPr>
          <w:trHeight w:hRule="exact" w:val="450.553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детей младшего школьного возраста</dc:title>
  <dc:creator>FastReport.NET</dc:creator>
</cp:coreProperties>
</file>